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1" w:rsidRDefault="006D4EE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-698499</wp:posOffset>
                </wp:positionV>
                <wp:extent cx="1833996" cy="240722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8527" y="3669164"/>
                          <a:ext cx="1814946" cy="221672"/>
                        </a:xfrm>
                        <a:prstGeom prst="rect">
                          <a:avLst/>
                        </a:prstGeom>
                        <a:solidFill>
                          <a:srgbClr val="6456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6491" w:rsidRDefault="005464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-698499</wp:posOffset>
                </wp:positionV>
                <wp:extent cx="1833996" cy="240722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996" cy="240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267335</wp:posOffset>
            </wp:positionV>
            <wp:extent cx="1630045" cy="45720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6491" w:rsidRDefault="00546491"/>
    <w:p w:rsidR="00546491" w:rsidRDefault="00546491"/>
    <w:p w:rsidR="00546491" w:rsidRDefault="00546491">
      <w:pPr>
        <w:rPr>
          <w:rFonts w:ascii="Montserrat" w:eastAsia="Montserrat" w:hAnsi="Montserrat" w:cs="Montserrat"/>
          <w:sz w:val="36"/>
          <w:szCs w:val="36"/>
        </w:rPr>
      </w:pPr>
    </w:p>
    <w:p w:rsidR="00546491" w:rsidRDefault="006D4EE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materiał prasowy, kwiecień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Dokąd zmierza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uberyzacja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biznesu?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Szanse i zagrożenia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economy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w czasach pandemii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Ekonomia współdzielenia, czyli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ma krótką historię. Rozpowszechniła się mocniej zaledwie kilkanaście lat temu i zrewolucjonizowała rynek konsumencki, dając każdej osobie prywatnej możliwość dotarcia ze swoim produktem lub usługą globalnie.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Najnowsze raporty prognozują, że w 2022 roku Europa będzie odpowiadać za 19,2% całkowitych dochodów sektora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a wartość gospodarki współdzielenia wyniesie 40,2 mld dolarów.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Jednak trwająca obecnie pandemia znacząco osłabia erę prosumentów.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Jak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będzie się zmieniać w nowych warunkach ekonomiczno-społecznych? Jakie nowe usługi mają szansę na rozwój dzięki cyfryzacji oraz czym są platformy B2B? Ekspert rynku i twórca platformy brief4U.com ocenia zagrożenia i szanse dla ekonomii w</w:t>
      </w:r>
      <w:r>
        <w:rPr>
          <w:rFonts w:ascii="Century Gothic" w:eastAsia="Century Gothic" w:hAnsi="Century Gothic" w:cs="Century Gothic"/>
          <w:b/>
          <w:sz w:val="20"/>
          <w:szCs w:val="20"/>
        </w:rPr>
        <w:t>spółdzielenia w czasach pandemii.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Jak sobie poradzi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 2021 roku?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Ekonomia współdzielenia jest określana jako najszybciej rozwijający się trend biznesowy w historii ekonomii. Tak było do niedawna. Obecnie największe biznesy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</w:t>
      </w:r>
      <w:r>
        <w:rPr>
          <w:rFonts w:ascii="Century Gothic" w:eastAsia="Century Gothic" w:hAnsi="Century Gothic" w:cs="Century Gothic"/>
          <w:sz w:val="20"/>
          <w:szCs w:val="20"/>
        </w:rPr>
        <w:t>uszą się mierzyć z ograniczeniami gospodarczymi i nowymi uwarunkowaniami społecznymi. System udostępniania dóbr i informacji innym użytkownikom oparty jest na dwóch głównych filarach – zaufaniu oraz cyfryzacji. Nowoczesne technologie rozwijają się bez prze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szkód, ale niektóre usługi wiele straciły przez tzw.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lockdown’y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wzmożone środki bezpieczeństwa. Uber jeździ teraz głównie z jedzeniem, wynajem prywatnych apartamentów powoli zaczyna się odradzać z uwagi na zbliżający się okres wakacyjny, hulajnogi prawdo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podobnie zaczną pojawiać się na drogach późną wiosną, ale czy ich popularność powróci? Nie wiadomo.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Podobnie jak wiele innych produktów i usług udostępnianych i wypożyczanych na godziny czy współdzielonych z innymi klientami. Najnowsze badanie „Wpływ Covi</w:t>
      </w:r>
      <w:r>
        <w:rPr>
          <w:rFonts w:ascii="Century Gothic" w:eastAsia="Century Gothic" w:hAnsi="Century Gothic" w:cs="Century Gothic"/>
          <w:sz w:val="20"/>
          <w:szCs w:val="20"/>
        </w:rPr>
        <w:t>d-19 na działalność w zakresie ekonomii współdzielenia”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sz w:val="20"/>
          <w:szCs w:val="20"/>
        </w:rPr>
        <w:t xml:space="preserve">  wskazuje, że usługodawcy odczuwają zmniejszenie dochodów i strach przed „efektem Covid-19”. Mówią też o nieprzewidywalnej przyszłości. Dezorientację i niepewność podkreślają również odbiorcy usług,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argumentując to faktem „braku możliwości rezerwacji” lub często też po prostu aktualnym brakiem „potrzeby korzystania z usług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”.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Pandemia oddziałuje bezpośrednio na firmy, które dotychczas znakomicie prosperowały w segmencie biznesowym opartym na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 Choć istnieją też platformy, które nie są kojarzone wprost z ekonomią współdzielenia, ale przez ekspertów rynku zaliczane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są do takich biznesów. To wszelkie miejsca wymiany informacji, agregujące freelancerów, którzy świadczą usługi niepodlegające obostrzeniom społecznym. Tutaj widzimy prawdziwy rozkwit zleceń i usługodawców, szczególnie w obszarze świadczeń dla klientów z s</w:t>
      </w:r>
      <w:r>
        <w:rPr>
          <w:rFonts w:ascii="Century Gothic" w:eastAsia="Century Gothic" w:hAnsi="Century Gothic" w:cs="Century Gothic"/>
          <w:i/>
          <w:sz w:val="20"/>
          <w:szCs w:val="20"/>
        </w:rPr>
        <w:t>egmentu B2B. Odbiorca biznesowy również musi zaufać, by zlecić komuś wykonanie konkretnego dzieła, bardzo precyzyjnie dobiera on nie tylko partnerów do współpracy, ale także w pierwszym kroku pośredników. Rozwijając brief4U.com, platformę łączącą profesjon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alistów z obszaru marketingu z agencjami reklamowymi oraz freelancerami, stawiamy przede wszystkim na jakość. Bez tego nie ma zaufania, </w:t>
      </w:r>
      <w:r>
        <w:rPr>
          <w:rFonts w:ascii="Century Gothic" w:eastAsia="Century Gothic" w:hAnsi="Century Gothic" w:cs="Century Gothic"/>
          <w:i/>
          <w:sz w:val="20"/>
          <w:szCs w:val="20"/>
        </w:rPr>
        <w:lastRenderedPageBreak/>
        <w:t xml:space="preserve">a bez zaufania nie ma współpracy i wzajemnych korzyści.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to także współdzielenie informacji i danych, z k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tórych mogą korzystać inne przedsiębiorstwa. Rozwiązania technologiczne w tym zakresie są nieograniczone i rezultaty gospodarcze wywołane przez pandemie nie mają na nie wpływu. Przeciwnie – platformy wymiany wiedzy i bazy wyselekcjonowanych usługodawców 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>cieszą się dużym zainteresowaniem, a klienci coraz częściej i śmielej z nich korzystają, optymalizując w ten sposób swój czas i ograniczając koszty oraz ryzyko podejmowanych decyzji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komentuje Marcin Chyliński, założyciel platformy brief4U.com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Nie tylko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Uber i Airbnb.com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Pojęcie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uberyzacji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biznesu powstało od jednej z najbardziej znanych aplikacji do zamawiania przejazdów</w:t>
      </w:r>
      <w: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prywatnymi samochodami zarejestrowanymi w systemie Uber. Jednak samo zjawisko nie dotyczy wyłącznie aplikacji Ubera. Owszem, polega na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łączeniu zleceniodawców i zleceniobiorców przez wspólną platformę i pozwala indywidualnym usługodawcom na dotarcie do klienta, co bez takich rozwiązań cyfrowych było wcześniej znacznie trudniejsze. Jednak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uberyzacja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odnosi się do biznesów z różnych branż.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Za sukcesem Ubera czy Airbnb.com w ciągu ostatnich lat rozwinęło się wiele innych podobnych aplikacji, które zrzeszają oferty na przykład opieki nad dziećmi, gastronomię, usługi z zakresu opieki zdrowotnej czy sprzątania.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>Ekonomia współdzielenia nie je</w:t>
      </w:r>
      <w:r>
        <w:rPr>
          <w:rFonts w:ascii="Century Gothic" w:eastAsia="Century Gothic" w:hAnsi="Century Gothic" w:cs="Century Gothic"/>
          <w:i/>
          <w:sz w:val="20"/>
          <w:szCs w:val="20"/>
        </w:rPr>
        <w:t>st kategorią zamkniętą. To zjawisko cały czas ewoluuje i będzie się rozwijało nadal. Przetrwają biznesy, które będą potrafiły dostosować się do nowych warunków ekonomicznych i społecznych, dopasują swój model działania do potrzeb klientów oraz umiejętnie w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ykorzystają narzędzia cyfrowe w celu dotarcia do konsumentów, a także zweryfikowanych zleceniodawców. Rynek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będzie rósł w siłę. Czy przewidywania, że osiągnie on globalnie wartość ponad 300 mld dolarów w 2025 roku sprawdzą się? To się okaże</w:t>
      </w:r>
      <w:r>
        <w:rPr>
          <w:rFonts w:ascii="Century Gothic" w:eastAsia="Century Gothic" w:hAnsi="Century Gothic" w:cs="Century Gothic"/>
          <w:i/>
          <w:sz w:val="20"/>
          <w:szCs w:val="20"/>
        </w:rPr>
        <w:t>. Obecnie firmy działają w warunkach, na które nie były przygotowane, a zleceniobiorcy dopiero oswajają się z nową rzeczywistością</w:t>
      </w:r>
      <w:r>
        <w:t xml:space="preserve">. </w:t>
      </w:r>
      <w:r>
        <w:rPr>
          <w:rFonts w:ascii="Century Gothic" w:eastAsia="Century Gothic" w:hAnsi="Century Gothic" w:cs="Century Gothic"/>
          <w:i/>
          <w:sz w:val="20"/>
          <w:szCs w:val="20"/>
        </w:rPr>
        <w:t>Jednak im bardziej będziemy połączeni cyfrowo, tym ekonomia współdzielenia będzie się umacniać, co pozwo</w:t>
      </w:r>
      <w:r>
        <w:t>li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też na dostęp do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usług i towarów w zasięgu globalnym. Nowoczesne aplikacje pozwalają ludziom na całym świecie dzielić się samochodem, mieszkaniem, a nawet swoim czasem i talentami. Co więcej, wciąż powstają kreatywne pomysły na biznesy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 wkraczające w nowe b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ranże. Marketing jest jednym z tych obszarów, który rozumie taką wymianę informacji i usług, z czego coraz śmielej korzystają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oraz agencje reklamowe, dzięki czemu oszczędzają swój czas i środki finansowe - </w:t>
      </w:r>
      <w:r>
        <w:rPr>
          <w:rFonts w:ascii="Century Gothic" w:eastAsia="Century Gothic" w:hAnsi="Century Gothic" w:cs="Century Gothic"/>
          <w:b/>
          <w:sz w:val="20"/>
          <w:szCs w:val="20"/>
        </w:rPr>
        <w:t>wyjaśnia Marcin Chyliński z brief4U.com</w:t>
      </w:r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Udział B2B w e-commerce 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economy</w:t>
      </w:r>
      <w:proofErr w:type="spellEnd"/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 szacunków przytaczanych przez Deloitte wynika, że branża e-commerce sektora B2B w Europie miała wartość 720 miliardów euro w 2017</w:t>
      </w:r>
      <w: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roku, a w 2020 prognozowano już ponad 2 biliony euro. Roczny wzrost o 32 p</w:t>
      </w:r>
      <w:r>
        <w:rPr>
          <w:rFonts w:ascii="Century Gothic" w:eastAsia="Century Gothic" w:hAnsi="Century Gothic" w:cs="Century Gothic"/>
          <w:sz w:val="20"/>
          <w:szCs w:val="20"/>
        </w:rPr>
        <w:t>roc. na starym kontynencie nie jest aż tak imponujący jak w przypadku udziału w handlu elektronicznym sektora B2B Chin czy Stanów Zjednoczonych. Mimo to pokazuje skalę i potencjał rozwoju wszelkich platform biznesowych, w tym między innymi tych, które wpis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ują się w segment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- Ekonomia współdzielenia, która nie istniałaby bez innowacyjnych platform i zaawansowanych rozwiązań cyfrowych, daje firmom możliwość zbudowania przewagi konkurencyjnej, dzięki czemu stają się one bardziej dynamiczne i 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lastyczne, mogą się skupić na swoich mocnych stronach, a żmudne aspekty administracyjne pozostawić rozwiązaniom technologicznym. W Europie gospodarka współdzielona B2B jest wciąż za mało wykorzystywana. Klienci uczą się, na czym polega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uberyzacja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biznesu,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sam rynek szybko dojrzewa i specjalizuje się. Widzimy to choćby po wzroście liczby zapytań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odwiedzalności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naszej platformy oraz wysokim zadowoleniu zarówno usługodawców, jak i usługobiorców z funkcjonalności platformy - </w:t>
      </w:r>
      <w:r>
        <w:rPr>
          <w:rFonts w:ascii="Century Gothic" w:eastAsia="Century Gothic" w:hAnsi="Century Gothic" w:cs="Century Gothic"/>
          <w:b/>
          <w:sz w:val="20"/>
          <w:szCs w:val="20"/>
        </w:rPr>
        <w:t>mówi Marcin Chyliński.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Badania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PwC pokazały, iż 86% dorosłych Amerykanów uważa, że ekonomia współdzielenia sprawia, że życie staje się bardziej przystępne. 83% respondentów postrzega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jako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>wygodę, a 63% twierdzi, że dzięki temu modelowi biznesowemu kontakt z usługodawcami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jest łatwiejszy niż dotychczasowe, „tradycyjne” relacje z firmami. </w:t>
      </w:r>
    </w:p>
    <w:p w:rsidR="00546491" w:rsidRDefault="006D4EE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>Zadowolenie klientów, racjonalne koszty, niska bariera wejścia nowych zleceniodawców oraz często również zniesienie ograniczeń geograficznych to niezaprzeczalne korzyści biznesów współd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zielonych. Jednak samo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sharing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economy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nie jest do końca regulowane prawnie, dlatego trudno jest tu kontrolować jakość świadczonych usług. Sprawdzone i rozpoznawalne platformy biznesowe zyskują stałych klientów. Liczy się rzetelna weryfikacja firm i osób i</w:t>
      </w:r>
      <w:r>
        <w:rPr>
          <w:rFonts w:ascii="Century Gothic" w:eastAsia="Century Gothic" w:hAnsi="Century Gothic" w:cs="Century Gothic"/>
          <w:i/>
          <w:sz w:val="20"/>
          <w:szCs w:val="20"/>
        </w:rPr>
        <w:t>ndywidualnych, chcących świadczyć usługi oraz transparentność całej współpracy na linii zleceniodawca -zleceniobiorca. Tylko tak dobrze skrojone platformy i aplikacje, działające w duchu ekonomii współdzielenia, mają szansę faktycznie rozwijać się na szero</w:t>
      </w:r>
      <w:r>
        <w:rPr>
          <w:rFonts w:ascii="Century Gothic" w:eastAsia="Century Gothic" w:hAnsi="Century Gothic" w:cs="Century Gothic"/>
          <w:i/>
          <w:sz w:val="20"/>
          <w:szCs w:val="20"/>
        </w:rPr>
        <w:t>ką skalę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</w:t>
      </w:r>
      <w:r>
        <w:rPr>
          <w:rFonts w:ascii="Century Gothic" w:eastAsia="Century Gothic" w:hAnsi="Century Gothic" w:cs="Century Gothic"/>
          <w:b/>
          <w:sz w:val="20"/>
          <w:szCs w:val="20"/>
        </w:rPr>
        <w:t>podsumowuje Marcin Chyliński, założyciel platformy brief4U.com.</w:t>
      </w:r>
    </w:p>
    <w:p w:rsidR="00A841F7" w:rsidRPr="00A841F7" w:rsidRDefault="00A841F7">
      <w:pPr>
        <w:rPr>
          <w:rFonts w:ascii="Montserrat" w:eastAsia="Montserrat" w:hAnsi="Montserrat" w:cs="Montserrat"/>
          <w:b/>
          <w:sz w:val="20"/>
          <w:szCs w:val="20"/>
        </w:rPr>
      </w:pPr>
      <w:r w:rsidRPr="00A841F7">
        <w:rPr>
          <w:rFonts w:ascii="Montserrat" w:eastAsia="Montserrat" w:hAnsi="Montserrat" w:cs="Montserrat"/>
          <w:b/>
          <w:sz w:val="20"/>
          <w:szCs w:val="20"/>
        </w:rPr>
        <w:t>Więcej informacji:</w:t>
      </w:r>
    </w:p>
    <w:p w:rsidR="00A841F7" w:rsidRDefault="00A841F7" w:rsidP="00A841F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Pamela Tomicka</w:t>
      </w:r>
      <w:bookmarkStart w:id="2" w:name="_GoBack"/>
      <w:bookmarkEnd w:id="2"/>
    </w:p>
    <w:p w:rsidR="00A841F7" w:rsidRDefault="00A841F7" w:rsidP="00A841F7">
      <w:pPr>
        <w:rPr>
          <w:rFonts w:ascii="Century Gothic" w:hAnsi="Century Gothic"/>
          <w:color w:val="000000"/>
          <w:sz w:val="20"/>
          <w:szCs w:val="20"/>
          <w:lang w:val="en-GB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tel.  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601 918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 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306</w:t>
      </w:r>
    </w:p>
    <w:p w:rsidR="00A841F7" w:rsidRPr="00A841F7" w:rsidRDefault="00A841F7" w:rsidP="00A841F7">
      <w:pPr>
        <w:rPr>
          <w:rFonts w:ascii="Montserrat" w:eastAsia="Montserrat" w:hAnsi="Montserrat" w:cs="Montserrat"/>
          <w:sz w:val="20"/>
          <w:szCs w:val="20"/>
        </w:rPr>
      </w:pPr>
      <w:hyperlink r:id="rId10" w:history="1">
        <w:r w:rsidRPr="00857885">
          <w:rPr>
            <w:rStyle w:val="Hipercze"/>
            <w:rFonts w:ascii="Century Gothic" w:hAnsi="Century Gothic"/>
            <w:sz w:val="20"/>
            <w:szCs w:val="20"/>
            <w:lang w:val="en-GB"/>
          </w:rPr>
          <w:t>p.tomicka@lightscape.pl</w:t>
        </w:r>
      </w:hyperlink>
      <w:r>
        <w:rPr>
          <w:rFonts w:ascii="Century Gothic" w:hAnsi="Century Gothic"/>
          <w:color w:val="000000"/>
          <w:sz w:val="20"/>
          <w:szCs w:val="20"/>
          <w:lang w:val="en-GB"/>
        </w:rPr>
        <w:t xml:space="preserve"> </w:t>
      </w:r>
    </w:p>
    <w:p w:rsidR="00546491" w:rsidRDefault="00546491">
      <w:pPr>
        <w:rPr>
          <w:rFonts w:ascii="Montserrat" w:eastAsia="Montserrat" w:hAnsi="Montserrat" w:cs="Montserrat"/>
          <w:sz w:val="20"/>
          <w:szCs w:val="20"/>
        </w:rPr>
      </w:pPr>
    </w:p>
    <w:sectPr w:rsidR="00546491"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EE" w:rsidRDefault="006D4EEE">
      <w:pPr>
        <w:spacing w:after="0" w:line="240" w:lineRule="auto"/>
      </w:pPr>
      <w:r>
        <w:separator/>
      </w:r>
    </w:p>
  </w:endnote>
  <w:endnote w:type="continuationSeparator" w:id="0">
    <w:p w:rsidR="006D4EEE" w:rsidRDefault="006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1" w:rsidRDefault="006D4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52875" cy="919050"/>
              <wp:effectExtent l="0" t="0" r="0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9088" y="3330000"/>
                        <a:ext cx="3933825" cy="900000"/>
                      </a:xfrm>
                      <a:prstGeom prst="rect">
                        <a:avLst/>
                      </a:prstGeom>
                      <a:solidFill>
                        <a:srgbClr val="6456A5"/>
                      </a:solidFill>
                      <a:ln>
                        <a:noFill/>
                      </a:ln>
                    </wps:spPr>
                    <wps:txbx>
                      <w:txbxContent>
                        <w:p w:rsidR="00546491" w:rsidRDefault="005464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52875" cy="91905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2875" cy="9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95450" cy="555625"/>
              <wp:effectExtent l="0" t="0" r="0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511713"/>
                        <a:ext cx="16764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6491" w:rsidRDefault="006D4EE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+48 881 007 030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kontakt@brief4u.com  www.brief4u.com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95450" cy="55562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555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1460500</wp:posOffset>
              </wp:positionH>
              <wp:positionV relativeFrom="paragraph">
                <wp:posOffset>-63499</wp:posOffset>
              </wp:positionV>
              <wp:extent cx="1266825" cy="546100"/>
              <wp:effectExtent l="0" t="0" r="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516475"/>
                        <a:ext cx="12477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6491" w:rsidRDefault="006D4EE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Tomasza Zana 38 lok. 416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 xml:space="preserve">20-601 Lublin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NIP 517-040-25-10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-63499</wp:posOffset>
              </wp:positionV>
              <wp:extent cx="1266825" cy="54610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54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EE" w:rsidRDefault="006D4EEE">
      <w:pPr>
        <w:spacing w:after="0" w:line="240" w:lineRule="auto"/>
      </w:pPr>
      <w:r>
        <w:separator/>
      </w:r>
    </w:p>
  </w:footnote>
  <w:footnote w:type="continuationSeparator" w:id="0">
    <w:p w:rsidR="006D4EEE" w:rsidRDefault="006D4EEE">
      <w:pPr>
        <w:spacing w:after="0" w:line="240" w:lineRule="auto"/>
      </w:pPr>
      <w:r>
        <w:continuationSeparator/>
      </w:r>
    </w:p>
  </w:footnote>
  <w:footnote w:id="1">
    <w:p w:rsidR="00546491" w:rsidRDefault="006D4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Statista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Research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Department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2021.</w:t>
      </w:r>
    </w:p>
  </w:footnote>
  <w:footnote w:id="2">
    <w:p w:rsidR="00546491" w:rsidRDefault="006D4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www.sciencedirect.com</w:t>
        </w:r>
      </w:hyperlink>
      <w:r>
        <w:rPr>
          <w:color w:val="000000"/>
          <w:sz w:val="20"/>
          <w:szCs w:val="20"/>
        </w:rPr>
        <w:t>, styczeń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491"/>
    <w:rsid w:val="00546491"/>
    <w:rsid w:val="006D4EEE"/>
    <w:rsid w:val="00A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B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3"/>
  </w:style>
  <w:style w:type="paragraph" w:styleId="Akapitzlist">
    <w:name w:val="List Paragraph"/>
    <w:basedOn w:val="Normalny"/>
    <w:uiPriority w:val="34"/>
    <w:qFormat/>
    <w:rsid w:val="00D37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71C9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841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B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3"/>
  </w:style>
  <w:style w:type="paragraph" w:styleId="Akapitzlist">
    <w:name w:val="List Paragraph"/>
    <w:basedOn w:val="Normalny"/>
    <w:uiPriority w:val="34"/>
    <w:qFormat/>
    <w:rsid w:val="00D37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71C9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84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tomicka@lightscap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TeliDRpuHmnetsYcq5r5ycACQ==">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Pamela Tomicka</cp:lastModifiedBy>
  <cp:revision>2</cp:revision>
  <dcterms:created xsi:type="dcterms:W3CDTF">2021-04-26T13:31:00Z</dcterms:created>
  <dcterms:modified xsi:type="dcterms:W3CDTF">2021-04-26T13:31:00Z</dcterms:modified>
</cp:coreProperties>
</file>